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40"/>
      </w:pPr>
      <w:r>
        <w:rPr>
          <w:b/>
          <w:sz w:val="36"/>
        </w:rPr>
        <w:t xml:space="preserve">党纪学习教育应知应会要点</w:t>
      </w:r>
    </w:p>
    <w:p>
      <w:pPr>
        <w:ind w:firstLine="480"/>
        <w:spacing w:line="360" w:lineRule="auto"/>
      </w:pPr>
      <w:r>
        <w:rPr>
          <w:sz w:val="24"/>
        </w:rPr>
        <w:t xml:space="preserve">一、总体要求：学纪、知纪、明纪、守纪，把遵规守纪刻印在心，内化为言行准则。</w:t>
      </w:r>
    </w:p>
    <w:p>
      <w:pPr>
        <w:ind w:firstLine="480"/>
        <w:spacing w:line="360" w:lineRule="auto"/>
      </w:pPr>
      <w:r>
        <w:rPr>
          <w:sz w:val="24"/>
        </w:rPr>
        <w:t xml:space="preserve">二、重点内容：《中国共产党纪律处分条例》政治纪律、组织纪律、廉洁纪律、群众纪律、工作纪律、生活纪律六项纪律。</w:t>
      </w:r>
    </w:p>
    <w:p>
      <w:pPr>
        <w:ind w:firstLine="480"/>
        <w:spacing w:line="360" w:lineRule="auto"/>
      </w:pPr>
      <w:r>
        <w:rPr>
          <w:sz w:val="24"/>
        </w:rPr>
        <w:t xml:space="preserve">三、常见问题：党员网络言行有哪些纪律要求？违规吃喝如何认定？操办婚丧喜庆事宜如何报备？</w:t>
      </w:r>
    </w:p>
    <w:p>
      <w:pPr>
        <w:ind w:firstLine="480"/>
        <w:spacing w:line="360" w:lineRule="auto"/>
      </w:pPr>
      <w:r>
        <w:rPr>
          <w:sz w:val="24"/>
        </w:rPr>
        <w:t xml:space="preserve">四、警示提醒：各级党组织要用好典型案例开展警示教育，以案促学、以案说纪。</w:t>
      </w:r>
    </w:p>
    <w:sectPr>
      <w:pgSz w:w="11906" w:h="16838"/>
      <w:pgMar w:top="1440" w:right="1500" w:bottom="1440" w:left="1500"/>
    </w:sectPr>
  </w:body>
</w:document>
</file>