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青苗网络安全大学校内工资异动审批表</w:t>
      </w:r>
    </w:p>
    <w:p>
      <w:pPr>
        <w:ind w:firstLine="480"/>
        <w:spacing w:line="360" w:lineRule="auto"/>
      </w:pPr>
      <w:r>
        <w:rPr>
          <w:sz w:val="24"/>
        </w:rPr>
        <w:t xml:space="preserve">（适用于岗位变动、职称晋升、学历学位变化、退休等引起的工资调整）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工号：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异动类型：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异动生效时间：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异动依据（文号）：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岗位工资（变动前→变动后）：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薪级工资（变动前→变动后）：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绩效工资标准：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人事处审核：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校领导审批：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