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青苗网络安全大学教材选用审批表</w:t>
      </w:r>
    </w:p>
    <w:p>
      <w:pPr>
        <w:ind w:firstLine="480"/>
        <w:spacing w:line="360" w:lineRule="auto"/>
      </w:pPr>
      <w:r>
        <w:rPr>
          <w:sz w:val="24"/>
        </w:rPr>
        <w:t xml:space="preserve">（马克思主义理论研究和建设工程教材及国家规划教材优先选用；自编教材须经教材委员会审定）</w:t>
      </w:r>
    </w:p>
    <w:p>
      <w:pPr>
        <w:spacing w:line="400" w:lineRule="auto"/>
      </w:pPr>
      <w:r>
        <w:rPr>
          <w:sz w:val="24"/>
        </w:rPr>
        <w:t xml:space="preserve">课程名称：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教材名称：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主编／出版社／版次：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教材类型（马工程／国家规划／省级规划／自编／境外）：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使用班级与人数：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选用理由：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任课教师：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教务处审批：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境外原版教材选用须同时提交意识形态审查表。</w:t>
      </w:r>
    </w:p>
    <w:sectPr>
      <w:pgSz w:w="11906" w:h="16838"/>
      <w:pgMar w:top="1440" w:right="1500" w:bottom="1440" w:left="1500"/>
    </w:sectPr>
  </w:body>
</w:document>
</file>